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211 vom 25. Juni 1982</w:t>
      </w:r>
    </w:p>
    <w:p>
      <w:r>
        <w:t>Bundesgericht (BGE), 1982-06-25, IT</w:t>
      </w:r>
    </w:p>
    <w:p>
      <w:r>
        <w:rPr>
          <w:b/>
        </w:rPr>
        <w:t xml:space="preserve">Quelle: </w:t>
      </w:r>
      <w:r>
        <w:t>https://mcp.opencaselaw.ch/entscheid/bge_108 IB 211</w:t>
      </w:r>
    </w:p>
    <w:p>
      <w:r>
        <w:t>FR: BGE 108 IB 211 du 25 juin 1982</w:t>
      </w:r>
    </w:p>
    <w:p>
      <w:r>
        <w:t>IT: BGE 108 IB 211 del 25 giugno 1982</w:t>
      </w:r>
    </w:p>
    <w:p>
      <w:pPr>
        <w:pStyle w:val="Heading2"/>
      </w:pPr>
      <w:r>
        <w:t>Regeste</w:t>
      </w:r>
    </w:p>
    <w:p>
      <w:r>
        <w:t>Regeste Erwerb von Grundstücken durch Personen im Ausland: Widerruf einer Auflage; Reinvestitionsverpflichtung. 1. Art. 17 Abs. 4 BewV: Allein die Tatsache, dass eine von Personen mit Wohnsitz im Ausland beherrschte Gesellschaft beabsichtigt, ihr eigenes Grundstück in der Schweiz einem Subjekt des schweizerischen Rechts zu verkaufen, rechtfertigt den Widerruf einer Auflage nicht; solche Umstände stellen in keiner Weise einen besonderen Härtefall dar (Erw. 2). 2. Art. 6 Abs. 5 Bst. a BewB: Die Auflage betreffend Wiederverwendung des Verkaufserlöses darf dem Veräusserer nur auferlegt werden, wenn der Erwerber einer Bewilligung gemäss Art. 6 Abs. 2 lit. d BewB bedarf und es sich um den Verkauf neu erstellter preisgünstiger Wohnungen handelt (Erw. 3).</w:t>
      </w:r>
    </w:p>
    <w:p>
      <w:pPr>
        <w:pStyle w:val="Heading2"/>
      </w:pPr>
      <w:r>
        <w:t>Erwägungen</w:t>
      </w:r>
    </w:p>
    <w:p>
      <w:r>
        <w:rPr>
          <w:b/>
        </w:rPr>
        <w:t>E. 2</w:t>
      </w:r>
    </w:p>
    <w:p>
      <w:r>
        <w:t>L'Autorità di prima istanza ha autorizzato la ricorrente ad alienare lo stabile di sua proprietà, revocando il precedente divieto ancorato all'art. 6 cpv. 5 lett. c DAFE. Né l'autorità cantonale abilitata a ricorrere né l'Ufficio federale di giustizia si sono aggravati contro tale sindacato (dispositivo n. 1 della decisione 8 maggio 1981), che ha così acquisito forza di cosa giudicata. La ricorrente precisa, da parte sua, di non contendere questo punto. Ne segue che il Tribunale federale non può vagliare la revoca del divieto, anche se essa consacra una violazione flagrante dell' art. 17 cpv. 4 OAFE . Detta norma prevede, invero, la BGE 108 Ib 211 S. 214 possibilità di revocare oneri la cui esecuzione si riveli impossibile o di estremo rigore, ma nella specie in esame non si sono constatate circostanze precise che comportassero, per la ricorrente, una situazione d'estremo rigore. Entrambe le istanze cantonali si sono semplicemente richiamate al parere dell'Ufficio federale di giustizia, che ha reputato applicabile l'ordinamento eccezionale della revoca per il solo fatto che l'immobile della Rita S.A. sarebbe tornato in mani svizzere. Ora, se un simile proponimento può apparire conforme alle finalità della legge, non deve ammettersi di converso l'applicazione estensiva dell' art. 17 cpv. 4 OAFE a contingenze che palesemente non sono assimilabili a casi d'estremo rigore (cfr. DTF 102 Ib 337 consid. 1b). Posta questa premessa, rimane da appurare se le autorità cantonali potevano, a mente dell' art. 6 cpv. 5 lett. a DAFE , obbligare la ricorrente a reinvestire il ricavo della vendita dello stabile in nuove abitazioni economiche a pigione moderata.</w:t>
      </w:r>
    </w:p>
    <w:p>
      <w:r>
        <w:rPr>
          <w:b/>
        </w:rPr>
        <w:t>E. 3</w:t>
      </w:r>
    </w:p>
    <w:p>
      <w:r>
        <w:t>L'art. 6 cpv. 2 lett. d DAFE (introdotto il 24 giugno 1970, RU 1970 pag. 1195, e modificato il 21 marzo 1973, RU 1974 pag. 83) stabilisce anzitutto che sussiste interesse legittimo all'acquisto di un fondo se questo, situato in un luogo con penuria di alloggi, è destinato alla costruzione di abitazioni economiche o se si tratta di un fondo con nuove abitazioni economiche. La modifica legislativa del 21 marzo 1973 ha vincolato tale disciplina, destinata ad agevolare il regime autorizzativo per favorire la creazione di alloggi a pigione moderata (cfr. Boll. uff. 1970 CN 94 segg. e 401 segg., CSt 209 segg.; FF 1972 pag. 1046 seg.; Boll. uff. 1972 CN 2227 segg. e 1973 CSt 18 segg.), agli oneri disposti dall' art. 6 cpv. 5 DAFE . Fra di essi figura appunto, alla lettera a, l'obbligo per l'alienante di nuove abitazioni economiche "di impiegare il ricavo per la costruzione di abitazioni economiche su un fondo attrezzato a sua disposizione". Dal chiaro testo della norma si desume nondimeno che l'imposizione dell'onere presuppone due requisiti cumulativi: da un lato occorre che l'acquisto sia soggetto ad autorizzazione secondo l'art. 6 cpv. 2 lett. d DAFE, dall'altro che la vendita riguardi "nuove abitazioni economiche". a) L'Autorità di prima istanza ha revocato il divieto d'alienazione, come si è visto, per il fatto che la ricorrente intendeva vendere la nota casa d'appartamenti a una società svizzera, non sottoposta all'esigenza di permessi d'acquisto nel senso dell'art. 6 cpv. 2 lett. d DAFE. Ma, proprio BGE 108 Ib 211 S. 215 perché un'operazione congenere non necessita dell'autorizzazione citata, il primo imperativo fissato dall' art. 6 cpv. 5 lett. a DAFE non si dimostra adempiuto. D'altro lato non può equipararsi l'avvenuta revoca di un onere - come quella appena illustrata - al requisito, che concerne il compratore, di un'autorizzazione d'acquisto. Ne discende che l'onere di reinvestimento deve essere invalidato di conseguenza. b) Stando alle indicazioni fornite dall'Ufficio federale di giustizia, la costruzione del ricordato stabile è terminata nell'ottobre 1976, ossia più di quattro anni prima dell'inoltro della domanda intesa alla revoca del divieto decennale d'alienazione. V'è da chiedersi se a quel momento potesse ancora farsi questione di "nuove abitazioni economiche" a norma dell' art. 6 cpv. 5 lett. a DAFE . Il problema può invero rimanere indeciso, dal momento che l'onere di reinvestimento cade per quanto si è spiegato al considerando che precede.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